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mc:Ignorable="w14 w15 wp14">
  <w:body>
    <w:p>
      <w:pPr>
        <w:spacing w:before="3000" w:line="20" w:lineRule="exact"/>
      </w:pPr>
    </w:p>
    <w:p>
      <w:pPr>
        <w:spacing w:after="160" w:line="380"/>
        <w:jc w:val="center"/>
      </w:pPr>
      <w:r>
        <w:rPr>
          <w:rFonts w:ascii="FangSong" w:cs="FangSong" w:eastAsia="FangSong" w:hAnsi="FangSong"/>
          <w:b/>
          <w:bCs/>
          <w:color w:val="333333"/>
          <w:sz w:val="52"/>
          <w:szCs w:val="52"/>
        </w:rPr>
        <w:t xml:space="preserve">曼兵村委会基本情况</w:t>
      </w:r>
    </w:p>
    <w:p>
      <w:pPr>
        <w:spacing w:before="400" w:line="20" w:lineRule="exact"/>
      </w:pPr>
    </w:p>
    <w:p>
      <w:pPr>
        <w:spacing w:after="160" w:line="380"/>
        <w:jc w:val="center"/>
      </w:pPr>
      <w:r>
        <w:rPr>
          <w:rFonts w:ascii="FangSong" w:cs="FangSong" w:eastAsia="FangSong" w:hAnsi="FangSong"/>
          <w:color w:val="333333"/>
          <w:sz w:val="24"/>
          <w:szCs w:val="24"/>
        </w:rPr>
        <w:t xml:space="preserve">景洪市勐龙镇曼兵村民委员会</w:t>
      </w:r>
    </w:p>
    <w:p>
      <w:pPr>
        <w:sectPr>
          <w:pgSz w:w="12240" w:h="15840" w:orient="portrait"/>
          <w:pgMar w:top="1440" w:right="1440" w:bottom="1440" w:left="1440" w:header="708" w:footer="708" w:gutter="0"/>
          <w:pgNumType/>
          <w:cols w:num="1"/>
          <w:docGrid w:linePitch="360"/>
        </w:sectPr>
      </w:pPr>
    </w:p>
    <w:p>
      <w:pPr>
        <w:pStyle w:val="Heading1"/>
        <w:keepNext/>
        <w:keepLines/>
        <w:spacing w:after="200" w:before="360"/>
        <w:jc w:val="center"/>
      </w:pPr>
      <w:r>
        <w:rPr>
          <w:rFonts w:ascii="SimHei" w:cs="SimHei" w:eastAsia="SimHei" w:hAnsi="SimHei"/>
          <w:b/>
          <w:bCs/>
          <w:color w:val="2F6B3C"/>
          <w:sz w:val="36"/>
          <w:szCs w:val="36"/>
        </w:rPr>
        <w:t xml:space="preserve">目  录</w:t>
      </w:r>
    </w:p>
    <w:p>
      <w:pPr>
        <w:spacing w:before="200" w:line="20" w:lineRule="exact"/>
      </w:pPr>
    </w:p>
    <w:sdt>
      <w:sdtPr>
        <w:alias w:val="目录"/>
      </w:sdtPr>
      <w:sdtContent>
        <w:p>
          <w:pPr>
            <w:pStyle w:val="TOC1"/>
          </w:pPr>
          <w:r>
            <w:fldChar w:fldCharType="begin" w:dirty="true"/>
            <w:instrText xml:space="preserve">TOC \h \o "1-3"</w:instrText>
            <w:fldChar w:fldCharType="separate"/>
          </w:r>
          <w:hyperlink w:history="1" w:anchor="_toc_auto_1">
            <w:r>
              <w:t xml:space="default">一、基本信息</w:t>
            </w:r>
          </w:hyperlink>
        </w:p>
        <w:p>
          <w:pPr>
            <w:pStyle w:val="TOC2"/>
          </w:pPr>
          <w:hyperlink w:history="1" w:anchor="_toc_auto_2">
            <w:r>
              <w:t xml:space="default">1、地理位置</w:t>
            </w:r>
          </w:hyperlink>
        </w:p>
        <w:p>
          <w:pPr>
            <w:pStyle w:val="TOC2"/>
          </w:pPr>
          <w:hyperlink w:history="1" w:anchor="_toc_auto_3">
            <w:r>
              <w:t xml:space="default">2、行政区域</w:t>
            </w:r>
          </w:hyperlink>
        </w:p>
        <w:p>
          <w:pPr>
            <w:pStyle w:val="TOC2"/>
          </w:pPr>
          <w:hyperlink w:history="1" w:anchor="_toc_auto_4">
            <w:r>
              <w:t xml:space="default">3、基础设施</w:t>
            </w:r>
          </w:hyperlink>
        </w:p>
        <w:p>
          <w:pPr>
            <w:pStyle w:val="TOC2"/>
          </w:pPr>
          <w:hyperlink w:history="1" w:anchor="_toc_auto_5">
            <w:r>
              <w:t xml:space="default">4、主要作物</w:t>
            </w:r>
          </w:hyperlink>
        </w:p>
        <w:p>
          <w:pPr>
            <w:pStyle w:val="TOC2"/>
          </w:pPr>
          <w:hyperlink w:history="1" w:anchor="_toc_auto_6">
            <w:r>
              <w:t xml:space="default">5、教育</w:t>
            </w:r>
          </w:hyperlink>
        </w:p>
        <w:p>
          <w:pPr>
            <w:pStyle w:val="TOC2"/>
          </w:pPr>
          <w:hyperlink w:history="1" w:anchor="_toc_auto_7">
            <w:r>
              <w:t xml:space="default">6、商业和交通</w:t>
            </w:r>
          </w:hyperlink>
        </w:p>
        <w:p>
          <w:pPr>
            <w:pStyle w:val="TOC1"/>
          </w:pPr>
          <w:hyperlink w:history="1" w:anchor="_toc_auto_8">
            <w:r>
              <w:t xml:space="default">二、未来发展方向</w:t>
            </w:r>
          </w:hyperlink>
        </w:p>
        <w:p>
          <w:pPr>
            <w:pStyle w:val="TOC2"/>
          </w:pPr>
          <w:hyperlink w:history="1" w:anchor="_toc_auto_9">
            <w:r>
              <w:t xml:space="default">1、提升人居环境</w:t>
            </w:r>
          </w:hyperlink>
        </w:p>
        <w:p>
          <w:pPr>
            <w:pStyle w:val="TOC2"/>
          </w:pPr>
          <w:hyperlink w:history="1" w:anchor="_toc_auto_10">
            <w:r>
              <w:t xml:space="default">2、增加集体经济收入</w:t>
            </w:r>
          </w:hyperlink>
          <w:r>
            <w:fldChar w:fldCharType="end"/>
          </w:r>
        </w:p>
      </w:sdtContent>
    </w:sdt>
    <w:p>
      <w:pPr>
        <w:sectPr>
          <w:headerReference w:type="default" r:id="rId7"/>
          <w:footerReference w:type="default" r:id="rId8"/>
          <w:type w:val="nextPage"/>
          <w:pgSz w:w="12240" w:h="15840" w:orient="portrait"/>
          <w:pgMar w:top="1440" w:right="1440" w:bottom="1440" w:left="1440" w:header="708" w:footer="708" w:gutter="0"/>
          <w:pgNumType w:start="1" w:fmt="upperRoman"/>
          <w:cols w:num="1"/>
          <w:docGrid w:linePitch="360"/>
        </w:sectPr>
      </w:pPr>
    </w:p>
    <w:p>
      <w:pPr>
        <w:spacing w:after="160" w:line="380"/>
        <w:ind w:firstLine="480"/>
      </w:pPr>
      <w:r>
        <w:rPr>
          <w:rFonts w:ascii="FangSong" w:cs="FangSong" w:eastAsia="FangSong" w:hAnsi="FangSong"/>
          <w:color w:val="333333"/>
          <w:sz w:val="22"/>
          <w:szCs w:val="22"/>
        </w:rPr>
        <w:t xml:space="preserve">曼兵村委会是位于勐龙镇政府的西南部的一个行政单位。下面将从地理位置、行政区域、基础设施、主要作物、教育、商业和交通等方面介绍曼兵村委会的基本情况以及村委会的未来发展方向。</w:t>
      </w:r>
    </w:p>
    <w:p>
      <w:pPr>
        <w:spacing/>
        <w:jc w:val="center"/>
      </w:pPr>
      <w:r>
        <w:drawing>
          <wp:inline distT="0" distB="0" distL="0" distR="0">
            <wp:extent cx="4381500" cy="2476500"/>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1" cstate="none"/>
                    <a:srcRect/>
                    <a:stretch>
                      <a:fillRect/>
                    </a:stretch>
                  </pic:blipFill>
                  <pic:spPr bwMode="auto">
                    <a:xfrm>
                      <a:off x="0" y="0"/>
                      <a:ext cx="4381500" cy="2476500"/>
                    </a:xfrm>
                    <a:prstGeom prst="rect">
                      <a:avLst/>
                    </a:prstGeom>
                  </pic:spPr>
                </pic:pic>
              </a:graphicData>
            </a:graphic>
          </wp:inline>
        </w:drawing>
      </w:r>
    </w:p>
    <w:p>
      <w:pPr>
        <w:pStyle w:val="Heading1"/>
        <w:keepNext/>
        <w:keepLines/>
        <w:spacing w:after="200" w:before="360"/>
      </w:pPr>
      <w:bookmarkStart w:name="_toc_auto_1" w:id="1"/>
      <w:r>
        <w:rPr>
          <w:rFonts w:ascii="SimHei" w:cs="SimHei" w:eastAsia="SimHei" w:hAnsi="SimHei"/>
          <w:b/>
          <w:bCs/>
          <w:color w:val="2F6B3C"/>
          <w:sz w:val="36"/>
          <w:szCs w:val="36"/>
        </w:rPr>
        <w:t xml:space="preserve">一、基本信息</w:t>
      </w:r>
      <w:bookmarkEnd w:id="1"/>
    </w:p>
    <w:p>
      <w:pPr>
        <w:spacing w:after="160" w:line="380"/>
        <w:ind w:firstLine="480"/>
      </w:pPr>
      <w:r>
        <w:rPr>
          <w:rFonts w:ascii="FangSong" w:cs="FangSong" w:eastAsia="FangSong" w:hAnsi="FangSong"/>
          <w:color w:val="333333"/>
          <w:sz w:val="22"/>
          <w:szCs w:val="22"/>
        </w:rPr>
        <w:t xml:space="preserve">曼兵村委会是勐龙镇西南部的行政村，设一个党总支部，下辖7个党支部、10个村民小组。全村共有农户1096户、人口5448人，其中团员26人、联防队员9人。</w:t>
      </w:r>
    </w:p>
    <w:tbl>
      <w:tblPr>
        <w:tblW w:type="dxa" w:w="9360"/>
        <w:jc w:val="center"/>
        <w:tblBorders>
          <w:top w:val="single" w:color="auto" w:sz="4"/>
          <w:left w:val="single" w:color="auto" w:sz="4"/>
          <w:bottom w:val="single" w:color="auto" w:sz="4"/>
          <w:right w:val="single" w:color="auto" w:sz="4"/>
          <w:insideH w:val="single" w:color="auto" w:sz="4"/>
          <w:insideV w:val="single" w:color="auto" w:sz="4"/>
        </w:tblBorders>
      </w:tblPr>
      <w:tblGrid>
        <w:gridCol w:w="1652"/>
        <w:gridCol w:w="4405"/>
        <w:gridCol w:w="1652"/>
        <w:gridCol w:w="1651"/>
      </w:tblGrid>
      <w:tr>
        <w:tc>
          <w:tcPr>
            <w:tcW w:type="dxa" w:w="1652"/>
            <w:tcBorders>
              <w:top w:val="single" w:color="D0D0D0" w:sz="1"/>
              <w:left w:val="single" w:color="D0D0D0" w:sz="1"/>
              <w:bottom w:val="single" w:color="D0D0D0" w:sz="1"/>
              <w:right w:val="single" w:color="D0D0D0" w:sz="1"/>
            </w:tcBorders>
            <w:shd w:fill="2F6B3C" w:val="clear"/>
            <w:tcMar>
              <w:top w:type="dxa" w:w="100"/>
              <w:left w:type="dxa" w:w="120"/>
              <w:bottom w:type="dxa" w:w="100"/>
              <w:right w:type="dxa" w:w="120"/>
            </w:tcMar>
          </w:tcPr>
          <w:p>
            <w:pPr>
              <w:spacing w:after="0"/>
              <w:jc w:val="center"/>
            </w:pPr>
            <w:r>
              <w:rPr>
                <w:rFonts w:ascii="FangSong" w:cs="FangSong" w:eastAsia="FangSong" w:hAnsi="FangSong"/>
                <w:b/>
                <w:bCs/>
                <w:color w:val="FFFFFF"/>
                <w:sz w:val="22"/>
                <w:szCs w:val="22"/>
              </w:rPr>
              <w:t xml:space="preserve">序号</w:t>
            </w:r>
          </w:p>
        </w:tc>
        <w:tc>
          <w:tcPr>
            <w:tcW w:type="dxa" w:w="4405"/>
            <w:tcBorders>
              <w:top w:val="single" w:color="D0D0D0" w:sz="1"/>
              <w:left w:val="single" w:color="D0D0D0" w:sz="1"/>
              <w:bottom w:val="single" w:color="D0D0D0" w:sz="1"/>
              <w:right w:val="single" w:color="D0D0D0" w:sz="1"/>
            </w:tcBorders>
            <w:shd w:fill="2F6B3C" w:val="clear"/>
            <w:tcMar>
              <w:top w:type="dxa" w:w="100"/>
              <w:left w:type="dxa" w:w="120"/>
              <w:bottom w:type="dxa" w:w="100"/>
              <w:right w:type="dxa" w:w="120"/>
            </w:tcMar>
          </w:tcPr>
          <w:p>
            <w:pPr>
              <w:spacing w:after="0"/>
              <w:jc w:val="center"/>
            </w:pPr>
            <w:r>
              <w:rPr>
                <w:rFonts w:ascii="FangSong" w:cs="FangSong" w:eastAsia="FangSong" w:hAnsi="FangSong"/>
                <w:b/>
                <w:bCs/>
                <w:color w:val="FFFFFF"/>
                <w:sz w:val="22"/>
                <w:szCs w:val="22"/>
              </w:rPr>
              <w:t xml:space="preserve">村小组名称</w:t>
            </w:r>
          </w:p>
        </w:tc>
        <w:tc>
          <w:tcPr>
            <w:tcW w:type="dxa" w:w="1652"/>
            <w:tcBorders>
              <w:top w:val="single" w:color="D0D0D0" w:sz="1"/>
              <w:left w:val="single" w:color="D0D0D0" w:sz="1"/>
              <w:bottom w:val="single" w:color="D0D0D0" w:sz="1"/>
              <w:right w:val="single" w:color="D0D0D0" w:sz="1"/>
            </w:tcBorders>
            <w:shd w:fill="2F6B3C" w:val="clear"/>
            <w:tcMar>
              <w:top w:type="dxa" w:w="100"/>
              <w:left w:type="dxa" w:w="120"/>
              <w:bottom w:type="dxa" w:w="100"/>
              <w:right w:type="dxa" w:w="120"/>
            </w:tcMar>
          </w:tcPr>
          <w:p>
            <w:pPr>
              <w:spacing w:after="0"/>
              <w:jc w:val="center"/>
            </w:pPr>
            <w:r>
              <w:rPr>
                <w:rFonts w:ascii="FangSong" w:cs="FangSong" w:eastAsia="FangSong" w:hAnsi="FangSong"/>
                <w:b/>
                <w:bCs/>
                <w:color w:val="FFFFFF"/>
                <w:sz w:val="22"/>
                <w:szCs w:val="22"/>
              </w:rPr>
              <w:t xml:space="preserve">户数</w:t>
            </w:r>
          </w:p>
        </w:tc>
        <w:tc>
          <w:tcPr>
            <w:tcW w:type="dxa" w:w="1651"/>
            <w:tcBorders>
              <w:top w:val="single" w:color="D0D0D0" w:sz="1"/>
              <w:left w:val="single" w:color="D0D0D0" w:sz="1"/>
              <w:bottom w:val="single" w:color="D0D0D0" w:sz="1"/>
              <w:right w:val="single" w:color="D0D0D0" w:sz="1"/>
            </w:tcBorders>
            <w:shd w:fill="2F6B3C" w:val="clear"/>
            <w:tcMar>
              <w:top w:type="dxa" w:w="100"/>
              <w:left w:type="dxa" w:w="120"/>
              <w:bottom w:type="dxa" w:w="100"/>
              <w:right w:type="dxa" w:w="120"/>
            </w:tcMar>
          </w:tcPr>
          <w:p>
            <w:pPr>
              <w:spacing w:after="0"/>
              <w:jc w:val="center"/>
            </w:pPr>
            <w:r>
              <w:rPr>
                <w:rFonts w:ascii="FangSong" w:cs="FangSong" w:eastAsia="FangSong" w:hAnsi="FangSong"/>
                <w:b/>
                <w:bCs/>
                <w:color w:val="FFFFFF"/>
                <w:sz w:val="22"/>
                <w:szCs w:val="22"/>
              </w:rPr>
              <w:t xml:space="preserve">人数</w:t>
            </w:r>
          </w:p>
        </w:tc>
      </w:tr>
      <w:tr>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w:t>
            </w:r>
          </w:p>
        </w:tc>
        <w:tc>
          <w:tcPr>
            <w:tcW w:type="dxa" w:w="4405"/>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曼广夯村小组</w:t>
            </w:r>
          </w:p>
        </w:tc>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133</w:t>
            </w:r>
          </w:p>
        </w:tc>
        <w:tc>
          <w:tcPr>
            <w:tcW w:type="dxa" w:w="1651"/>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680</w:t>
            </w:r>
          </w:p>
        </w:tc>
      </w:tr>
      <w:tr>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2</w:t>
            </w:r>
          </w:p>
        </w:tc>
        <w:tc>
          <w:tcPr>
            <w:tcW w:type="dxa" w:w="4405"/>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曼红村小组</w:t>
            </w:r>
          </w:p>
        </w:tc>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96</w:t>
            </w:r>
          </w:p>
        </w:tc>
        <w:tc>
          <w:tcPr>
            <w:tcW w:type="dxa" w:w="1651"/>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481</w:t>
            </w:r>
          </w:p>
        </w:tc>
      </w:tr>
      <w:tr>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3</w:t>
            </w:r>
          </w:p>
        </w:tc>
        <w:tc>
          <w:tcPr>
            <w:tcW w:type="dxa" w:w="4405"/>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曼倒村小组</w:t>
            </w:r>
          </w:p>
        </w:tc>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65</w:t>
            </w:r>
          </w:p>
        </w:tc>
        <w:tc>
          <w:tcPr>
            <w:tcW w:type="dxa" w:w="1651"/>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323</w:t>
            </w:r>
          </w:p>
        </w:tc>
      </w:tr>
      <w:tr>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4</w:t>
            </w:r>
          </w:p>
        </w:tc>
        <w:tc>
          <w:tcPr>
            <w:tcW w:type="dxa" w:w="4405"/>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曼兵村小组</w:t>
            </w:r>
          </w:p>
        </w:tc>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122</w:t>
            </w:r>
          </w:p>
        </w:tc>
        <w:tc>
          <w:tcPr>
            <w:tcW w:type="dxa" w:w="1651"/>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602</w:t>
            </w:r>
          </w:p>
        </w:tc>
      </w:tr>
      <w:tr>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5</w:t>
            </w:r>
          </w:p>
        </w:tc>
        <w:tc>
          <w:tcPr>
            <w:tcW w:type="dxa" w:w="4405"/>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曼嘎村小组</w:t>
            </w:r>
          </w:p>
        </w:tc>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165</w:t>
            </w:r>
          </w:p>
        </w:tc>
        <w:tc>
          <w:tcPr>
            <w:tcW w:type="dxa" w:w="1651"/>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862</w:t>
            </w:r>
          </w:p>
        </w:tc>
      </w:tr>
      <w:tr>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6</w:t>
            </w:r>
          </w:p>
        </w:tc>
        <w:tc>
          <w:tcPr>
            <w:tcW w:type="dxa" w:w="4405"/>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曼散村小组</w:t>
            </w:r>
          </w:p>
        </w:tc>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136</w:t>
            </w:r>
          </w:p>
        </w:tc>
        <w:tc>
          <w:tcPr>
            <w:tcW w:type="dxa" w:w="1651"/>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650</w:t>
            </w:r>
          </w:p>
        </w:tc>
      </w:tr>
      <w:tr>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7</w:t>
            </w:r>
          </w:p>
        </w:tc>
        <w:tc>
          <w:tcPr>
            <w:tcW w:type="dxa" w:w="4405"/>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曼约村小组</w:t>
            </w:r>
          </w:p>
        </w:tc>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126</w:t>
            </w:r>
          </w:p>
        </w:tc>
        <w:tc>
          <w:tcPr>
            <w:tcW w:type="dxa" w:w="1651"/>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603</w:t>
            </w:r>
          </w:p>
        </w:tc>
      </w:tr>
      <w:tr>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8</w:t>
            </w:r>
          </w:p>
        </w:tc>
        <w:tc>
          <w:tcPr>
            <w:tcW w:type="dxa" w:w="4405"/>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曼挡村小组</w:t>
            </w:r>
          </w:p>
        </w:tc>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54</w:t>
            </w:r>
          </w:p>
        </w:tc>
        <w:tc>
          <w:tcPr>
            <w:tcW w:type="dxa" w:w="1651"/>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268</w:t>
            </w:r>
          </w:p>
        </w:tc>
      </w:tr>
      <w:tr>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9</w:t>
            </w:r>
          </w:p>
        </w:tc>
        <w:tc>
          <w:tcPr>
            <w:tcW w:type="dxa" w:w="4405"/>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曼肯村小组</w:t>
            </w:r>
          </w:p>
        </w:tc>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166</w:t>
            </w:r>
          </w:p>
        </w:tc>
        <w:tc>
          <w:tcPr>
            <w:tcW w:type="dxa" w:w="1651"/>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830</w:t>
            </w:r>
          </w:p>
        </w:tc>
      </w:tr>
      <w:tr>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10</w:t>
            </w:r>
          </w:p>
        </w:tc>
        <w:tc>
          <w:tcPr>
            <w:tcW w:type="dxa" w:w="4405"/>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曼老村小组</w:t>
            </w:r>
          </w:p>
        </w:tc>
        <w:tc>
          <w:tcPr>
            <w:tcW w:type="dxa" w:w="1652"/>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33</w:t>
            </w:r>
          </w:p>
        </w:tc>
        <w:tc>
          <w:tcPr>
            <w:tcW w:type="dxa" w:w="1651"/>
            <w:tcBorders>
              <w:top w:val="single" w:color="D0D0D0" w:sz="1"/>
              <w:left w:val="single" w:color="D0D0D0" w:sz="1"/>
              <w:bottom w:val="single" w:color="D0D0D0" w:sz="1"/>
              <w:right w:val="single" w:color="D0D0D0" w:sz="1"/>
            </w:tcBorders>
            <w:shd w:fill="F0F6F0" w:val="clear"/>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149</w:t>
            </w:r>
          </w:p>
        </w:tc>
      </w:tr>
      <w:tr>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jc w:val="center"/>
            </w:pPr>
            <w:r>
              <w:rPr>
                <w:rFonts w:ascii="FangSong" w:cs="FangSong" w:eastAsia="FangSong" w:hAnsi="FangSong"/>
                <w:b/>
                <w:bCs/>
                <w:color w:val="333333"/>
                <w:sz w:val="22"/>
                <w:szCs w:val="22"/>
              </w:rPr>
              <w:t xml:space="preserve">总计</w:t>
            </w:r>
          </w:p>
        </w:tc>
        <w:tc>
          <w:tcPr>
            <w:tcW w:type="dxa" w:w="4405"/>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line="320"/>
            </w:pPr>
            <w:r>
              <w:rPr>
                <w:rFonts w:ascii="FangSong" w:cs="FangSong" w:eastAsia="FangSong" w:hAnsi="FangSong"/>
                <w:color w:val="333333"/>
                <w:sz w:val="22"/>
                <w:szCs w:val="22"/>
              </w:rPr>
              <w:t xml:space="preserve"/>
            </w:r>
          </w:p>
        </w:tc>
        <w:tc>
          <w:tcPr>
            <w:tcW w:type="dxa" w:w="1652"/>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jc w:val="center"/>
            </w:pPr>
            <w:r>
              <w:rPr>
                <w:rFonts w:ascii="FangSong" w:cs="FangSong" w:eastAsia="FangSong" w:hAnsi="FangSong"/>
                <w:b/>
                <w:bCs/>
                <w:color w:val="333333"/>
                <w:sz w:val="22"/>
                <w:szCs w:val="22"/>
              </w:rPr>
              <w:t xml:space="preserve">1096</w:t>
            </w:r>
          </w:p>
        </w:tc>
        <w:tc>
          <w:tcPr>
            <w:tcW w:type="dxa" w:w="1651"/>
            <w:tcBorders>
              <w:top w:val="single" w:color="D0D0D0" w:sz="1"/>
              <w:left w:val="single" w:color="D0D0D0" w:sz="1"/>
              <w:bottom w:val="single" w:color="D0D0D0" w:sz="1"/>
              <w:right w:val="single" w:color="D0D0D0" w:sz="1"/>
            </w:tcBorders>
            <w:tcMar>
              <w:top w:type="dxa" w:w="100"/>
              <w:left w:type="dxa" w:w="120"/>
              <w:bottom w:type="dxa" w:w="100"/>
              <w:right w:type="dxa" w:w="120"/>
            </w:tcMar>
          </w:tcPr>
          <w:p>
            <w:pPr>
              <w:spacing w:after="0"/>
              <w:jc w:val="center"/>
            </w:pPr>
            <w:r>
              <w:rPr>
                <w:rFonts w:ascii="FangSong" w:cs="FangSong" w:eastAsia="FangSong" w:hAnsi="FangSong"/>
                <w:b/>
                <w:bCs/>
                <w:color w:val="333333"/>
                <w:sz w:val="22"/>
                <w:szCs w:val="22"/>
              </w:rPr>
              <w:t xml:space="preserve">5448</w:t>
            </w:r>
          </w:p>
        </w:tc>
      </w:tr>
    </w:tbl>
    <w:p>
      <w:pPr>
        <w:spacing w:before="200" w:line="20" w:lineRule="exact"/>
      </w:pPr>
    </w:p>
    <w:p>
      <w:pPr>
        <w:spacing/>
        <w:jc w:val="center"/>
      </w:pPr>
      <w:r>
        <w:drawing>
          <wp:inline distT="0" distB="0" distL="0" distR="0">
            <wp:extent cx="4381500" cy="2486025"/>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2" cstate="none"/>
                    <a:srcRect/>
                    <a:stretch>
                      <a:fillRect/>
                    </a:stretch>
                  </pic:blipFill>
                  <pic:spPr bwMode="auto">
                    <a:xfrm>
                      <a:off x="0" y="0"/>
                      <a:ext cx="4381500" cy="2486025"/>
                    </a:xfrm>
                    <a:prstGeom prst="rect">
                      <a:avLst/>
                    </a:prstGeom>
                  </pic:spPr>
                </pic:pic>
              </a:graphicData>
            </a:graphic>
          </wp:inline>
        </w:drawing>
      </w:r>
    </w:p>
    <w:p>
      <w:pPr>
        <w:pStyle w:val="Heading2"/>
        <w:keepNext/>
        <w:keepLines/>
        <w:spacing w:after="200" w:before="360"/>
      </w:pPr>
      <w:bookmarkStart w:name="_toc_auto_2" w:id="2"/>
      <w:r>
        <w:rPr>
          <w:rFonts w:ascii="SimHei" w:cs="SimHei" w:eastAsia="SimHei" w:hAnsi="SimHei"/>
          <w:b/>
          <w:bCs/>
          <w:color w:val="2F6B3C"/>
          <w:sz w:val="30"/>
          <w:szCs w:val="30"/>
        </w:rPr>
        <w:t xml:space="preserve">1、地理位置</w:t>
      </w:r>
      <w:bookmarkEnd w:id="2"/>
    </w:p>
    <w:p>
      <w:pPr>
        <w:spacing w:after="160" w:line="380"/>
        <w:ind w:firstLine="480"/>
      </w:pPr>
      <w:r>
        <w:rPr>
          <w:rFonts w:ascii="FangSong" w:cs="FangSong" w:eastAsia="FangSong" w:hAnsi="FangSong"/>
          <w:color w:val="333333"/>
          <w:sz w:val="22"/>
          <w:szCs w:val="22"/>
        </w:rPr>
        <w:t xml:space="preserve">曼兵村委会位于云南省西双版纳傣族自治州景洪市勐龙镇政府的西南部，距离勐龙镇政府10公里。其地理坐标为东经100°60′，北纬21°52′。地处山地丘陵区，海拔668米。曼兵村委会属于典型的南亚热带季风气候，年平均气温为28℃左右，年平均降水量在1200毫米左右。</w:t>
      </w:r>
    </w:p>
    <w:p>
      <w:pPr>
        <w:spacing/>
        <w:jc w:val="center"/>
      </w:pPr>
      <w:r>
        <w:drawing>
          <wp:inline distT="0" distB="0" distL="0" distR="0">
            <wp:extent cx="4381500" cy="2381250"/>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3" cstate="none"/>
                    <a:srcRect/>
                    <a:stretch>
                      <a:fillRect/>
                    </a:stretch>
                  </pic:blipFill>
                  <pic:spPr bwMode="auto">
                    <a:xfrm>
                      <a:off x="0" y="0"/>
                      <a:ext cx="4381500" cy="2381250"/>
                    </a:xfrm>
                    <a:prstGeom prst="rect">
                      <a:avLst/>
                    </a:prstGeom>
                  </pic:spPr>
                </pic:pic>
              </a:graphicData>
            </a:graphic>
          </wp:inline>
        </w:drawing>
      </w:r>
    </w:p>
    <w:p>
      <w:pPr>
        <w:pStyle w:val="Heading2"/>
        <w:keepNext/>
        <w:keepLines/>
        <w:spacing w:after="200" w:before="360"/>
      </w:pPr>
      <w:bookmarkStart w:name="_toc_auto_3" w:id="3"/>
      <w:r>
        <w:rPr>
          <w:rFonts w:ascii="SimHei" w:cs="SimHei" w:eastAsia="SimHei" w:hAnsi="SimHei"/>
          <w:b/>
          <w:bCs/>
          <w:color w:val="2F6B3C"/>
          <w:sz w:val="30"/>
          <w:szCs w:val="30"/>
        </w:rPr>
        <w:t xml:space="preserve">2、行政区域</w:t>
      </w:r>
      <w:bookmarkEnd w:id="3"/>
    </w:p>
    <w:p>
      <w:pPr>
        <w:spacing w:after="160" w:line="380"/>
        <w:ind w:firstLine="480"/>
      </w:pPr>
      <w:r>
        <w:rPr>
          <w:rFonts w:ascii="FangSong" w:cs="FangSong" w:eastAsia="FangSong" w:hAnsi="FangSong"/>
          <w:color w:val="333333"/>
          <w:sz w:val="22"/>
          <w:szCs w:val="22"/>
        </w:rPr>
        <w:t xml:space="preserve">曼兵村委会的行政区域面积为41.66平方千米，辖区内共有10个村民小组，有5448人口，其中傣族、汉族、布朗族为主要民族，还有部分哈尼族等少数民族。耕地面积12409亩，林地面积20703亩，村委会的行政区域内有丰富的自然资源和生态环境，拥有大片的耕地和林地资源，是一个以农业为主的村庄。</w:t>
      </w:r>
    </w:p>
    <w:p>
      <w:pPr>
        <w:spacing/>
        <w:jc w:val="center"/>
      </w:pPr>
      <w:r>
        <w:drawing>
          <wp:inline distT="0" distB="0" distL="0" distR="0">
            <wp:extent cx="4381500" cy="2466975"/>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4" cstate="none"/>
                    <a:srcRect/>
                    <a:stretch>
                      <a:fillRect/>
                    </a:stretch>
                  </pic:blipFill>
                  <pic:spPr bwMode="auto">
                    <a:xfrm>
                      <a:off x="0" y="0"/>
                      <a:ext cx="4381500" cy="2466975"/>
                    </a:xfrm>
                    <a:prstGeom prst="rect">
                      <a:avLst/>
                    </a:prstGeom>
                  </pic:spPr>
                </pic:pic>
              </a:graphicData>
            </a:graphic>
          </wp:inline>
        </w:drawing>
      </w:r>
    </w:p>
    <w:p>
      <w:pPr>
        <w:pStyle w:val="Heading2"/>
        <w:keepNext/>
        <w:keepLines/>
        <w:spacing w:after="200" w:before="360"/>
      </w:pPr>
      <w:bookmarkStart w:name="_toc_auto_4" w:id="4"/>
      <w:r>
        <w:rPr>
          <w:rFonts w:ascii="SimHei" w:cs="SimHei" w:eastAsia="SimHei" w:hAnsi="SimHei"/>
          <w:b/>
          <w:bCs/>
          <w:color w:val="2F6B3C"/>
          <w:sz w:val="30"/>
          <w:szCs w:val="30"/>
        </w:rPr>
        <w:t xml:space="preserve">3、基础设施</w:t>
      </w:r>
      <w:bookmarkEnd w:id="4"/>
    </w:p>
    <w:p>
      <w:pPr>
        <w:spacing w:after="160" w:line="380"/>
        <w:ind w:firstLine="480"/>
      </w:pPr>
      <w:r>
        <w:rPr>
          <w:rFonts w:ascii="FangSong" w:cs="FangSong" w:eastAsia="FangSong" w:hAnsi="FangSong"/>
          <w:color w:val="333333"/>
          <w:sz w:val="22"/>
          <w:szCs w:val="22"/>
        </w:rPr>
        <w:t xml:space="preserve">曼兵村委会拥有完善的基础设施，包括通电、通水、通5G网络和宽带、公路等。目前，村委会已经实现全面通水通电，全村村民可以使用便利的自来水和电力服务。同时，村庄内也有农家超市和便利店，提供日常生活用品的采购。另外，村委会内还设有办公场所和公共厕所，为村民提供便捷的生活服务。</w:t>
      </w:r>
    </w:p>
    <w:p>
      <w:pPr>
        <w:spacing/>
        <w:jc w:val="center"/>
      </w:pPr>
      <w:r>
        <w:drawing>
          <wp:inline distT="0" distB="0" distL="0" distR="0">
            <wp:extent cx="4381500" cy="2466975"/>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5" cstate="none"/>
                    <a:srcRect/>
                    <a:stretch>
                      <a:fillRect/>
                    </a:stretch>
                  </pic:blipFill>
                  <pic:spPr bwMode="auto">
                    <a:xfrm>
                      <a:off x="0" y="0"/>
                      <a:ext cx="4381500" cy="2466975"/>
                    </a:xfrm>
                    <a:prstGeom prst="rect">
                      <a:avLst/>
                    </a:prstGeom>
                  </pic:spPr>
                </pic:pic>
              </a:graphicData>
            </a:graphic>
          </wp:inline>
        </w:drawing>
      </w:r>
    </w:p>
    <w:p>
      <w:pPr>
        <w:pStyle w:val="Heading2"/>
        <w:keepNext/>
        <w:keepLines/>
        <w:spacing w:after="200" w:before="360"/>
      </w:pPr>
      <w:bookmarkStart w:name="_toc_auto_5" w:id="5"/>
      <w:r>
        <w:rPr>
          <w:rFonts w:ascii="SimHei" w:cs="SimHei" w:eastAsia="SimHei" w:hAnsi="SimHei"/>
          <w:b/>
          <w:bCs/>
          <w:color w:val="2F6B3C"/>
          <w:sz w:val="30"/>
          <w:szCs w:val="30"/>
        </w:rPr>
        <w:t xml:space="preserve">4、主要作物</w:t>
      </w:r>
      <w:bookmarkEnd w:id="5"/>
    </w:p>
    <w:p>
      <w:pPr>
        <w:spacing w:after="160" w:line="380"/>
        <w:ind w:firstLine="480"/>
      </w:pPr>
      <w:r>
        <w:rPr>
          <w:rFonts w:ascii="FangSong" w:cs="FangSong" w:eastAsia="FangSong" w:hAnsi="FangSong"/>
          <w:color w:val="333333"/>
          <w:sz w:val="22"/>
          <w:szCs w:val="22"/>
        </w:rPr>
        <w:t xml:space="preserve">曼兵村委会适宜种植橡胶、红毛丹、香蕉、水稻、玉米等作物。其中，橡胶是当地的主要经济作物。拥有优美的自然环境，清新的空气和优美的山水景观。村庄的气候条件适宜农业生产，经过多年的耕作，土地肥沃，种植效益较好，且由于地势较高，温度相对较低，天气宜人，夏季气温适中，非常适合人们生活和工作。</w:t>
      </w:r>
    </w:p>
    <w:p>
      <w:pPr>
        <w:spacing/>
        <w:jc w:val="center"/>
      </w:pPr>
      <w:r>
        <w:drawing>
          <wp:inline distT="0" distB="0" distL="0" distR="0">
            <wp:extent cx="4381500" cy="2038350"/>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6" cstate="none"/>
                    <a:srcRect/>
                    <a:stretch>
                      <a:fillRect/>
                    </a:stretch>
                  </pic:blipFill>
                  <pic:spPr bwMode="auto">
                    <a:xfrm>
                      <a:off x="0" y="0"/>
                      <a:ext cx="4381500" cy="2038350"/>
                    </a:xfrm>
                    <a:prstGeom prst="rect">
                      <a:avLst/>
                    </a:prstGeom>
                  </pic:spPr>
                </pic:pic>
              </a:graphicData>
            </a:graphic>
          </wp:inline>
        </w:drawing>
      </w:r>
    </w:p>
    <w:p>
      <w:pPr>
        <w:pStyle w:val="Heading2"/>
        <w:keepNext/>
        <w:keepLines/>
        <w:spacing w:after="200" w:before="360"/>
      </w:pPr>
      <w:bookmarkStart w:name="_toc_auto_6" w:id="6"/>
      <w:r>
        <w:rPr>
          <w:rFonts w:ascii="SimHei" w:cs="SimHei" w:eastAsia="SimHei" w:hAnsi="SimHei"/>
          <w:b/>
          <w:bCs/>
          <w:color w:val="2F6B3C"/>
          <w:sz w:val="30"/>
          <w:szCs w:val="30"/>
        </w:rPr>
        <w:t xml:space="preserve">5、教育</w:t>
      </w:r>
      <w:bookmarkEnd w:id="6"/>
    </w:p>
    <w:p>
      <w:pPr>
        <w:spacing w:after="160" w:line="380"/>
        <w:ind w:firstLine="480"/>
      </w:pPr>
      <w:r>
        <w:rPr>
          <w:rFonts w:ascii="FangSong" w:cs="FangSong" w:eastAsia="FangSong" w:hAnsi="FangSong"/>
          <w:color w:val="333333"/>
          <w:sz w:val="22"/>
          <w:szCs w:val="22"/>
        </w:rPr>
        <w:t xml:space="preserve">辖区内有一所小学和幼儿园，为村里的孩子们提供了良好的学习和成长环境，提供了便捷的上学条件。小学设有多个年级，让孩子们在校学习知识，发展个人才能，并提供多种课外活动，如课后辅导、音乐、舞蹈等，帮助孩子们健康成长。</w:t>
      </w:r>
    </w:p>
    <w:p>
      <w:pPr>
        <w:spacing/>
        <w:jc w:val="center"/>
      </w:pPr>
      <w:r>
        <w:drawing>
          <wp:inline distT="0" distB="0" distL="0" distR="0">
            <wp:extent cx="4381500" cy="2466975"/>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7" cstate="none"/>
                    <a:srcRect/>
                    <a:stretch>
                      <a:fillRect/>
                    </a:stretch>
                  </pic:blipFill>
                  <pic:spPr bwMode="auto">
                    <a:xfrm>
                      <a:off x="0" y="0"/>
                      <a:ext cx="4381500" cy="2466975"/>
                    </a:xfrm>
                    <a:prstGeom prst="rect">
                      <a:avLst/>
                    </a:prstGeom>
                  </pic:spPr>
                </pic:pic>
              </a:graphicData>
            </a:graphic>
          </wp:inline>
        </w:drawing>
      </w:r>
    </w:p>
    <w:p>
      <w:pPr>
        <w:pStyle w:val="Heading2"/>
        <w:keepNext/>
        <w:keepLines/>
        <w:spacing w:after="200" w:before="360"/>
      </w:pPr>
      <w:bookmarkStart w:name="_toc_auto_7" w:id="7"/>
      <w:r>
        <w:rPr>
          <w:rFonts w:ascii="SimHei" w:cs="SimHei" w:eastAsia="SimHei" w:hAnsi="SimHei"/>
          <w:b/>
          <w:bCs/>
          <w:color w:val="2F6B3C"/>
          <w:sz w:val="30"/>
          <w:szCs w:val="30"/>
        </w:rPr>
        <w:t xml:space="preserve">6、商业和交通</w:t>
      </w:r>
      <w:bookmarkEnd w:id="7"/>
    </w:p>
    <w:p>
      <w:pPr>
        <w:spacing w:after="160" w:line="380"/>
        <w:ind w:firstLine="480"/>
      </w:pPr>
      <w:r>
        <w:rPr>
          <w:rFonts w:ascii="FangSong" w:cs="FangSong" w:eastAsia="FangSong" w:hAnsi="FangSong"/>
          <w:color w:val="333333"/>
          <w:sz w:val="22"/>
          <w:szCs w:val="22"/>
        </w:rPr>
        <w:t xml:space="preserve">在数字化时代，通讯设施对于一个村庄来说非常重要。曼兵村委会通5G网络和宽带，居民可以方便地通过互联网获取信息和使用网络服务，也可以方便地与外界联系和沟通。公路交通便捷，通往镇政府的道路宽敞平坦，交通便利，为村民们提供了便利出行的条件。</w:t>
      </w:r>
    </w:p>
    <w:p>
      <w:pPr>
        <w:spacing/>
        <w:jc w:val="center"/>
      </w:pPr>
      <w:r>
        <w:drawing>
          <wp:inline distT="0" distB="0" distL="0" distR="0">
            <wp:extent cx="4381500" cy="2466975"/>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8" cstate="none"/>
                    <a:srcRect/>
                    <a:stretch>
                      <a:fillRect/>
                    </a:stretch>
                  </pic:blipFill>
                  <pic:spPr bwMode="auto">
                    <a:xfrm>
                      <a:off x="0" y="0"/>
                      <a:ext cx="4381500" cy="2466975"/>
                    </a:xfrm>
                    <a:prstGeom prst="rect">
                      <a:avLst/>
                    </a:prstGeom>
                  </pic:spPr>
                </pic:pic>
              </a:graphicData>
            </a:graphic>
          </wp:inline>
        </w:drawing>
      </w:r>
    </w:p>
    <w:p>
      <w:pPr>
        <w:pStyle w:val="Heading1"/>
        <w:keepNext/>
        <w:keepLines/>
        <w:spacing w:after="200" w:before="360"/>
      </w:pPr>
      <w:bookmarkStart w:name="_toc_auto_8" w:id="8"/>
      <w:r>
        <w:rPr>
          <w:rFonts w:ascii="SimHei" w:cs="SimHei" w:eastAsia="SimHei" w:hAnsi="SimHei"/>
          <w:b/>
          <w:bCs/>
          <w:color w:val="2F6B3C"/>
          <w:sz w:val="36"/>
          <w:szCs w:val="36"/>
        </w:rPr>
        <w:t xml:space="preserve">二、未来发展方向</w:t>
      </w:r>
      <w:bookmarkEnd w:id="8"/>
    </w:p>
    <w:p>
      <w:pPr>
        <w:pStyle w:val="Heading2"/>
        <w:keepNext/>
        <w:keepLines/>
        <w:spacing w:after="200" w:before="360"/>
      </w:pPr>
      <w:bookmarkStart w:name="_toc_auto_9" w:id="9"/>
      <w:r>
        <w:rPr>
          <w:rFonts w:ascii="SimHei" w:cs="SimHei" w:eastAsia="SimHei" w:hAnsi="SimHei"/>
          <w:b/>
          <w:bCs/>
          <w:color w:val="2F6B3C"/>
          <w:sz w:val="30"/>
          <w:szCs w:val="30"/>
        </w:rPr>
        <w:t xml:space="preserve">1、提升人居环境</w:t>
      </w:r>
      <w:bookmarkEnd w:id="9"/>
    </w:p>
    <w:p>
      <w:pPr>
        <w:spacing w:after="160" w:line="380"/>
        <w:ind w:firstLine="480"/>
      </w:pPr>
      <w:r>
        <w:rPr>
          <w:rFonts w:ascii="FangSong" w:cs="FangSong" w:eastAsia="FangSong" w:hAnsi="FangSong"/>
          <w:color w:val="333333"/>
          <w:sz w:val="22"/>
          <w:szCs w:val="22"/>
        </w:rPr>
        <w:t xml:space="preserve">在提升曼兵村委会的人居环境方面，计划采取一系列的环保措施和科技应用。首先，将通过绿化美化，包括推广绿色植被和美化环境的项目，倡导绿色生活，同时设立垃圾分类和废品回收等环保措施，鼓励村民共同维护和改善村庄环境。其次，我们将引入家用科技设备如扫地机器人、自动洗衣机设备等，以及智能家居技术，如智能照明、智能门锁、智能安全系统等，使村民的生活更加便利、舒适和安全。同时，计划利用科技设备提升公共设施的效能，如智能街灯和智能监控系统等。在基础设施建设方面，将持续改善和升级道路、供电、供水等设施。</w:t>
      </w:r>
    </w:p>
    <w:p>
      <w:pPr>
        <w:spacing/>
        <w:jc w:val="center"/>
      </w:pPr>
      <w:r>
        <w:drawing>
          <wp:inline distT="0" distB="0" distL="0" distR="0">
            <wp:extent cx="4381500" cy="2533650"/>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19" cstate="none"/>
                    <a:srcRect/>
                    <a:stretch>
                      <a:fillRect/>
                    </a:stretch>
                  </pic:blipFill>
                  <pic:spPr bwMode="auto">
                    <a:xfrm>
                      <a:off x="0" y="0"/>
                      <a:ext cx="4381500" cy="2533650"/>
                    </a:xfrm>
                    <a:prstGeom prst="rect">
                      <a:avLst/>
                    </a:prstGeom>
                  </pic:spPr>
                </pic:pic>
              </a:graphicData>
            </a:graphic>
          </wp:inline>
        </w:drawing>
      </w:r>
    </w:p>
    <w:p>
      <w:pPr>
        <w:pStyle w:val="Heading2"/>
        <w:keepNext/>
        <w:keepLines/>
        <w:spacing w:after="200" w:before="360"/>
      </w:pPr>
      <w:bookmarkStart w:name="_toc_auto_10" w:id="10"/>
      <w:r>
        <w:rPr>
          <w:rFonts w:ascii="SimHei" w:cs="SimHei" w:eastAsia="SimHei" w:hAnsi="SimHei"/>
          <w:b/>
          <w:bCs/>
          <w:color w:val="2F6B3C"/>
          <w:sz w:val="30"/>
          <w:szCs w:val="30"/>
        </w:rPr>
        <w:t xml:space="preserve">2、增加集体经济收入</w:t>
      </w:r>
      <w:bookmarkEnd w:id="10"/>
    </w:p>
    <w:p>
      <w:pPr>
        <w:spacing w:after="160" w:line="380"/>
        <w:ind w:firstLine="480"/>
      </w:pPr>
      <w:r>
        <w:rPr>
          <w:rFonts w:ascii="FangSong" w:cs="FangSong" w:eastAsia="FangSong" w:hAnsi="FangSong"/>
          <w:color w:val="333333"/>
          <w:sz w:val="22"/>
          <w:szCs w:val="22"/>
        </w:rPr>
        <w:t xml:space="preserve">在经济方面，将从农业、电子商务入手。在农业方面，可以引入新的农业技术，提高农作物的产量和质量。在电子商务方面，可以利用5G网络，开设网络商店，销售村庄的农产品和特色产品，扩大市场。</w:t>
      </w:r>
    </w:p>
    <w:p>
      <w:pPr>
        <w:spacing/>
        <w:jc w:val="center"/>
      </w:pPr>
      <w:r>
        <w:drawing>
          <wp:inline distT="0" distB="0" distL="0" distR="0">
            <wp:extent cx="4381500" cy="2486025"/>
            <wp:effectExtent t="0" r="0" b="0" l="0"/>
            <wp:docPr id="1" name="" descr="" title=""/>
            <wp:cNvGraphicFramePr>
              <a:graphicFrameLocks noChangeAspect="1"/>
            </wp:cNvGraphicFramePr>
            <a:graphic>
              <a:graphicData uri="http://schemas.openxmlformats.org/drawingml/2006/picture">
                <pic:pic>
                  <pic:nvPicPr>
                    <pic:cNvPr id="0" name="" descr=""/>
                    <pic:cNvPicPr>
                      <a:picLocks noChangeAspect="1" noChangeArrowheads="1"/>
                    </pic:cNvPicPr>
                  </pic:nvPicPr>
                  <pic:blipFill>
                    <a:blip r:embed="rId20" cstate="none"/>
                    <a:srcRect/>
                    <a:stretch>
                      <a:fillRect/>
                    </a:stretch>
                  </pic:blipFill>
                  <pic:spPr bwMode="auto">
                    <a:xfrm>
                      <a:off x="0" y="0"/>
                      <a:ext cx="4381500" cy="2486025"/>
                    </a:xfrm>
                    <a:prstGeom prst="rect">
                      <a:avLst/>
                    </a:prstGeom>
                  </pic:spPr>
                </pic:pic>
              </a:graphicData>
            </a:graphic>
          </wp:inline>
        </w:drawing>
      </w:r>
    </w:p>
    <w:sectPr>
      <w:headerReference w:type="default" r:id="rId9"/>
      <w:footerReference w:type="default" r:id="rId10"/>
      <w:type w:val="nextPage"/>
      <w:pgSz w:w="12240" w:h="15840" w:orient="portrait"/>
      <w:pgMar w:top="1440" w:right="1440" w:bottom="1440" w:left="1440" w:header="708" w:footer="708" w:gutter="0"/>
      <w:pgNumType/>
      <w:cols w:num="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60" w:line="380"/>
      <w:jc w:val="center"/>
    </w:pPr>
    <w:r>
      <w:rPr>
        <w:color w:val="999999"/>
        <w:sz w:val="18"/>
        <w:szCs w:val="18"/>
      </w:rPr>
      <w:t xml:space="preserve">— </w:t>
    </w:r>
    <w:r>
      <w:rPr>
        <w:color w:val="999999"/>
        <w:sz w:val="18"/>
        <w:szCs w:val="18"/>
      </w:rPr>
      <w:fldChar w:fldCharType="begin"/>
      <w:instrText xml:space="preserve">PAGE</w:instrText>
      <w:fldChar w:fldCharType="separate"/>
      <w:fldChar w:fldCharType="end"/>
    </w:r>
    <w:r>
      <w:rPr>
        <w:color w:val="999999"/>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60" w:line="380"/>
      <w:jc w:val="center"/>
    </w:pPr>
    <w:r>
      <w:rPr>
        <w:color w:val="999999"/>
        <w:sz w:val="18"/>
        <w:szCs w:val="18"/>
      </w:rPr>
      <w:t xml:space="preserve">— </w:t>
    </w:r>
    <w:r>
      <w:rPr>
        <w:color w:val="999999"/>
        <w:sz w:val="18"/>
        <w:szCs w:val="18"/>
      </w:rPr>
      <w:fldChar w:fldCharType="begin"/>
      <w:instrText xml:space="preserve">PAGE</w:instrText>
      <w:fldChar w:fldCharType="separate"/>
      <w:fldChar w:fldCharType="end"/>
    </w:r>
    <w:r>
      <w:rPr>
        <w:color w:val="999999"/>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60" w:line="380"/>
      <w:jc w:val="center"/>
    </w:pPr>
    <w:r>
      <w:rPr>
        <w:rFonts w:ascii="FangSong" w:cs="FangSong" w:eastAsia="FangSong" w:hAnsi="FangSong"/>
        <w:color w:val="999999"/>
        <w:sz w:val="18"/>
        <w:szCs w:val="18"/>
      </w:rPr>
      <w:t xml:space="preserve">曼兵村委会基本情况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60" w:line="380"/>
      <w:jc w:val="center"/>
    </w:pPr>
    <w:r>
      <w:rPr>
        <w:rFonts w:ascii="FangSong" w:cs="FangSong" w:eastAsia="FangSong" w:hAnsi="FangSong"/>
        <w:color w:val="999999"/>
        <w:sz w:val="18"/>
        <w:szCs w:val="18"/>
      </w:rPr>
      <w:t xml:space="preserve">曼兵村委会基本情况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333333"/>
        <w:sz w:val="22"/>
        <w:szCs w:val="22"/>
      </w:rPr>
    </w:rPrDefault>
    <w:pPrDefault>
      <w:pPr>
        <w:widowControl/>
      </w:pPr>
    </w:pPrDefault>
  </w:docDefaults>
  <w:style w:type="paragraph" w:styleId="Title">
    <w:name w:val="Title"/>
    <w:basedOn w:val="Normal"/>
    <w:next w:val="Normal"/>
    <w:qFormat/>
    <w:rPr>
      <w:sz w:val="56"/>
      <w:szCs w:val="56"/>
    </w:rPr>
  </w:style>
  <w:style w:type="paragraph" w:styleId="Heading1">
    <w:pPr>
      <w:outlineLvl w:val="0"/>
    </w:pPr>
    <w:name w:val="Heading 1"/>
    <w:basedOn w:val="Normal"/>
    <w:next w:val="Normal"/>
    <w:qFormat/>
    <w:rPr>
      <w:color w:val="2E74B5"/>
      <w:sz w:val="32"/>
      <w:szCs w:val="32"/>
    </w:rPr>
  </w:style>
  <w:style w:type="paragraph" w:styleId="Heading2">
    <w:pPr>
      <w:outlineLvl w:val="1"/>
    </w:pPr>
    <w:name w:val="Heading 2"/>
    <w:basedOn w:val="Normal"/>
    <w:next w:val="Normal"/>
    <w:qFormat/>
    <w:rPr>
      <w:color w:val="2E74B5"/>
      <w:sz w:val="26"/>
      <w:szCs w:val="26"/>
    </w:rPr>
  </w:style>
  <w:style w:type="paragraph" w:styleId="Heading3">
    <w:pPr>
      <w:outlineLvl w:val="2"/>
    </w:pPr>
    <w:name w:val="Heading 3"/>
    <w:basedOn w:val="Normal"/>
    <w:next w:val="Normal"/>
    <w:qFormat/>
    <w:rPr>
      <w:color w:val="1F4D78"/>
      <w:sz w:val="24"/>
      <w:szCs w:val="24"/>
    </w:rPr>
  </w:style>
  <w:style w:type="paragraph" w:styleId="Heading4">
    <w:pPr>
      <w:outlineLvl w:val="3"/>
    </w:pPr>
    <w:name w:val="Heading 4"/>
    <w:basedOn w:val="Normal"/>
    <w:next w:val="Normal"/>
    <w:qFormat/>
    <w:rPr>
      <w:i/>
      <w:iCs/>
      <w:color w:val="2E74B5"/>
    </w:rPr>
  </w:style>
  <w:style w:type="paragraph" w:styleId="Heading5">
    <w:pPr>
      <w:outlineLvl w:val="4"/>
    </w:pPr>
    <w:name w:val="Heading 5"/>
    <w:basedOn w:val="Normal"/>
    <w:next w:val="Normal"/>
    <w:qFormat/>
    <w:rPr>
      <w:color w:val="2E74B5"/>
    </w:rPr>
  </w:style>
  <w:style w:type="paragraph" w:styleId="Heading6">
    <w:pPr>
      <w:outlineLvl w:val="5"/>
    </w:pPr>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200" w:before="360"/>
      <w:outlineLvl w:val="0"/>
    </w:pPr>
    <w:rPr>
      <w:rFonts w:ascii="SimHei" w:cs="SimHei" w:eastAsia="SimHei" w:hAnsi="SimHei"/>
      <w:b/>
      <w:bCs/>
      <w:color w:val="2F6B3C"/>
      <w:sz w:val="36"/>
      <w:szCs w:val="36"/>
    </w:rPr>
  </w:style>
  <w:style w:type="paragraph" w:styleId="Heading2">
    <w:name w:val="heading 2"/>
    <w:basedOn w:val="Normal"/>
    <w:next w:val="Normal"/>
    <w:qFormat/>
    <w:pPr>
      <w:keepNext/>
      <w:keepLines/>
      <w:spacing w:after="200" w:before="360"/>
      <w:outlineLvl w:val="1"/>
    </w:pPr>
    <w:rPr>
      <w:rFonts w:ascii="SimHei" w:cs="SimHei" w:eastAsia="SimHei" w:hAnsi="SimHei"/>
      <w:b/>
      <w:bCs/>
      <w:color w:val="2F6B3C"/>
      <w:sz w:val="30"/>
      <w:szCs w:val="30"/>
    </w:rPr>
  </w:style>
  <w:style w:type="paragraph" w:styleId="Heading3">
    <w:name w:val="heading 3"/>
    <w:basedOn w:val="Normal"/>
    <w:next w:val="Normal"/>
    <w:qFormat/>
    <w:pPr>
      <w:keepNext/>
      <w:keepLines/>
      <w:spacing w:after="200" w:before="360"/>
      <w:outlineLvl w:val="2"/>
    </w:pPr>
    <w:rPr>
      <w:rFonts w:ascii="SimHei" w:cs="SimHei" w:eastAsia="SimHei" w:hAnsi="SimHei"/>
      <w:b/>
      <w:bCs/>
      <w:color w:val="2F6B3C"/>
      <w:sz w:val="26"/>
      <w:szCs w:val="26"/>
    </w:rPr>
  </w:style>
  <w:style w:type="paragraph" w:styleId="Heading4">
    <w:name w:val="heading 4"/>
    <w:basedOn w:val="Normal"/>
    <w:next w:val="Normal"/>
    <w:qFormat/>
    <w:pPr>
      <w:keepNext/>
      <w:keepLines/>
      <w:spacing w:after="200" w:before="360"/>
      <w:outlineLvl w:val="3"/>
    </w:pPr>
    <w:rPr>
      <w:rFonts w:ascii="SimHei" w:cs="SimHei" w:eastAsia="SimHei" w:hAnsi="SimHei"/>
      <w:b/>
      <w:bCs/>
      <w:color w:val="2F6B3C"/>
      <w:sz w:val="24"/>
      <w:szCs w:val="24"/>
    </w:rPr>
  </w:style>
  <w:style xmlns:w="http://schemas.openxmlformats.org/wordprocessingml/2006/main" w:type="paragraph" w:styleId="TOC1">
    <w:name w:val="toc 1"/>
    <w:basedOn w:val="Normal"/>
    <w:uiPriority w:val="39"/>
    <w:pPr>
      <w:spacing w:before="120" w:after="0" w:line="360" w:lineRule="auto"/>
    </w:pPr>
    <w:rPr>
      <w:b/>
      <w:sz w:val="22"/>
      <w:szCs w:val="22"/>
    </w:rPr>
  </w:style>
  <w:style xmlns:w="http://schemas.openxmlformats.org/wordprocessingml/2006/main" w:type="paragraph" w:styleId="TOC2">
    <w:name w:val="toc 2"/>
    <w:basedOn w:val="Normal"/>
    <w:uiPriority w:val="39"/>
    <w:pPr>
      <w:spacing w:before="0" w:after="0" w:line="360" w:lineRule="auto"/>
      <w:ind w:left="420"/>
    </w:pPr>
    <w:rPr>
      <w:sz w:val="21"/>
      <w:szCs w:val="21"/>
    </w:rPr>
  </w:style>
  <w:style xmlns:w="http://schemas.openxmlformats.org/wordprocessingml/2006/main" w:type="paragraph" w:styleId="TOC3">
    <w:name w:val="toc 3"/>
    <w:basedOn w:val="Normal"/>
    <w:uiPriority w:val="39"/>
    <w:pPr>
      <w:spacing w:before="0" w:after="0" w:line="360" w:lineRule="auto"/>
      <w:ind w:left="840"/>
    </w:pPr>
    <w:rPr>
      <w:sz w:val="21"/>
      <w:szCs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0fb943558cb06d21c2c95e4bd201362aee6af159.png"/><Relationship Id="rId12" Type="http://schemas.openxmlformats.org/officeDocument/2006/relationships/image" Target="media/bdc116a25a6c53e1b48a505f68aec39a17f69274.png"/><Relationship Id="rId13" Type="http://schemas.openxmlformats.org/officeDocument/2006/relationships/image" Target="media/9dae4c8f767fe27922f4d8d5ff3c813235181252.png"/><Relationship Id="rId14" Type="http://schemas.openxmlformats.org/officeDocument/2006/relationships/image" Target="media/726007acf7dac5d8434b1a3f335565e17c40009b.png"/><Relationship Id="rId15" Type="http://schemas.openxmlformats.org/officeDocument/2006/relationships/image" Target="media/937ebe138bb24629924e8d06a6dbd7dc7340fcdc.jpeg"/><Relationship Id="rId16" Type="http://schemas.openxmlformats.org/officeDocument/2006/relationships/image" Target="media/05c3dab604f3731191fe3a064e94de7f6570a03a.png"/><Relationship Id="rId17" Type="http://schemas.openxmlformats.org/officeDocument/2006/relationships/image" Target="media/f377cf93fdad7546e970ad888efb77db6913785a.png"/><Relationship Id="rId18" Type="http://schemas.openxmlformats.org/officeDocument/2006/relationships/image" Target="media/33a3fb98b85813a10ef8373696e3e7afc2b261c3.jpeg"/><Relationship Id="rId19" Type="http://schemas.openxmlformats.org/officeDocument/2006/relationships/image" Target="media/b88f8d40920f1d059c0db65fe70bffe081450689.png"/><Relationship Id="rId20" Type="http://schemas.openxmlformats.org/officeDocument/2006/relationships/image" Target="media/8be381e49ba123f984b5e1e037c7f91921fdd0a5.png"/><Relationship Id="rId2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2026-10-04T14:58:26.077Z</dcterms:created>
  <dcterms:modified xsi:type="dcterms:W3CDTF">2026-10-04T14:58:26.077Z</dcterms:modified>
</cp:coreProperties>
</file>

<file path=docProps/custom.xml><?xml version="1.0" encoding="utf-8"?>
<Properties xmlns="http://schemas.openxmlformats.org/officeDocument/2006/custom-properties" xmlns:vt="http://schemas.openxmlformats.org/officeDocument/2006/docPropsVTypes"/>
</file>